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E169F2" w:rsidR="00EA4B0D" w:rsidP="00EA4B0D" w:rsidRDefault="00EA4B0D" w14:paraId="4C8A74BD" w14:textId="7757D0A7">
      <w:pPr>
        <w:pStyle w:val="Heading1"/>
        <w:rPr>
          <w:rFonts w:ascii="Calibri" w:hAnsi="Calibri" w:cs="Calibri"/>
        </w:rPr>
      </w:pPr>
      <w:bookmarkStart w:name="_GoBack" w:id="0"/>
      <w:r w:rsidRPr="00E169F2">
        <w:rPr>
          <w:rFonts w:ascii="Calibri" w:hAnsi="Calibri" w:cs="Calibri"/>
        </w:rPr>
        <w:t>Products that cost more than $50</w:t>
      </w:r>
    </w:p>
    <w:bookmarkEnd w:id="0"/>
    <w:p w:rsidRPr="00E169F2" w:rsidR="009D304B" w:rsidP="009D304B" w:rsidRDefault="009D304B" w14:paraId="7EEC8B67" w14:textId="77777777">
      <w:pPr>
        <w:rPr>
          <w:rFonts w:ascii="Calibri" w:hAnsi="Calibri" w:cs="Calibri"/>
        </w:rPr>
      </w:pPr>
    </w:p>
    <w:tbl>
      <w:tblPr>
        <w:tblStyle w:val="GridTable4-Accent6"/>
        <w:tblW w:w="13675" w:type="dxa"/>
        <w:tblLayout w:type="fixed"/>
        <w:tblLook w:val="04A0" w:firstRow="true" w:lastRow="false" w:firstColumn="true" w:lastColumn="false" w:noHBand="false" w:noVBand="true"/>
      </w:tblPr>
      <w:tblGrid>
        <w:gridCol w:w="715"/>
        <w:gridCol w:w="3960"/>
        <w:gridCol w:w="4320"/>
        <w:gridCol w:w="3330"/>
        <w:gridCol w:w="1350"/>
      </w:tblGrid>
      <w:tr w:rsidRPr="00E169F2" w:rsidR="00971327" w:rsidTr="00F72766" w14:paraId="7BAB1290" w14:textId="77777777">
        <w:trPr>
          <w:cnfStyle w:firstRow="true" w:firstColumn="false" w:lastColumn="false" w:oddVBand="false" w:evenVBand="false" w:oddHBand="false" w:firstRowFirstColumn="false" w:firstRowLastColumn="false" w:lastRowFirstColumn="false" w:lastRowLastColumn="false"/>
        </w:trPr>
        <w:tc>
          <w:tcPr>
            <w:cnfStyle w:firstRow="false" w:firstColumn="true" w:lastColumn="false" w:oddVBand="false" w:evenVBand="false" w:oddHBand="false" w:firstRowFirstColumn="false" w:firstRowLastColumn="false" w:lastRowFirstColumn="false" w:lastRowLastColumn="false"/>
            <w:tcW w:w="715" w:type="dxa"/>
          </w:tcPr>
          <w:p w:rsidRPr="00E169F2" w:rsidR="001625A9" w:rsidP="00C12C64" w:rsidRDefault="001625A9" w14:paraId="30EAEE5A" w14:textId="3DB9959A">
            <w:pPr>
              <w:jc w:val="right"/>
              <w:rPr>
                <w:rFonts w:ascii="Calibri" w:hAnsi="Calibri" w:cs="Calibri"/>
              </w:rPr>
            </w:pPr>
            <w:r w:rsidRPr="00E169F2">
              <w:rPr>
                <w:rFonts w:ascii="Calibri" w:hAnsi="Calibri" w:cs="Calibri"/>
              </w:rPr>
              <w:t>ID</w:t>
            </w:r>
          </w:p>
        </w:tc>
        <w:tc>
          <w:tcPr>
            <w:tcW w:w="3960" w:type="dxa"/>
          </w:tcPr>
          <w:p w:rsidRPr="00E169F2" w:rsidR="001625A9" w:rsidP="00EA4B0D" w:rsidRDefault="001625A9" w14:paraId="3FC6AD11" w14:textId="1BD0BE37">
            <w:pPr>
              <w:cnfStyle w:firstRow="true" w:firstColumn="false" w:lastColumn="false" w:oddVBand="false" w:evenVBand="false" w:oddHBand="false" w:firstRowFirstColumn="false" w:firstRowLastColumn="false" w:lastRowFirstColumn="false" w:lastRowLastColumn="false"/>
              <w:rPr>
                <w:rFonts w:ascii="Calibri" w:hAnsi="Calibri" w:cs="Calibri"/>
              </w:rPr>
            </w:pPr>
            <w:r w:rsidRPr="00E169F2">
              <w:rPr>
                <w:rFonts w:ascii="Calibri" w:hAnsi="Calibri" w:cs="Calibri"/>
              </w:rPr>
              <w:t>Product Name</w:t>
            </w:r>
          </w:p>
        </w:tc>
        <w:tc>
          <w:tcPr>
            <w:tcW w:w="4320" w:type="dxa"/>
          </w:tcPr>
          <w:p w:rsidRPr="00E169F2" w:rsidR="001625A9" w:rsidP="00EA4B0D" w:rsidRDefault="001625A9" w14:paraId="43EA2BC2" w14:textId="4F8408D1">
            <w:pPr>
              <w:cnfStyle w:firstRow="true" w:firstColumn="false" w:lastColumn="false" w:oddVBand="false" w:evenVBand="false" w:oddHBand="false" w:firstRowFirstColumn="false" w:firstRowLastColumn="false" w:lastRowFirstColumn="false" w:lastRowLastColumn="false"/>
              <w:rPr>
                <w:rFonts w:ascii="Calibri" w:hAnsi="Calibri" w:cs="Calibri"/>
              </w:rPr>
            </w:pPr>
            <w:r w:rsidRPr="00E169F2">
              <w:rPr>
                <w:rFonts w:ascii="Calibri" w:hAnsi="Calibri" w:cs="Calibri"/>
              </w:rPr>
              <w:t>Company Name</w:t>
            </w:r>
          </w:p>
        </w:tc>
        <w:tc>
          <w:tcPr>
            <w:tcW w:w="3330" w:type="dxa"/>
          </w:tcPr>
          <w:p w:rsidRPr="00E169F2" w:rsidR="001625A9" w:rsidP="00EA4B0D" w:rsidRDefault="001625A9" w14:paraId="099D8F5E" w14:textId="1DA39C3D">
            <w:pPr>
              <w:cnfStyle w:firstRow="true" w:firstColumn="false" w:lastColumn="false" w:oddVBand="false" w:evenVBand="false" w:oddHBand="false" w:firstRowFirstColumn="false" w:firstRowLastColumn="false" w:lastRowFirstColumn="false" w:lastRowLastColumn="false"/>
              <w:rPr>
                <w:rFonts w:ascii="Calibri" w:hAnsi="Calibri" w:cs="Calibri"/>
              </w:rPr>
            </w:pPr>
            <w:r w:rsidRPr="00E169F2">
              <w:rPr>
                <w:rFonts w:ascii="Calibri" w:hAnsi="Calibri" w:cs="Calibri"/>
              </w:rPr>
              <w:t>Quantity Per Unit</w:t>
            </w:r>
          </w:p>
        </w:tc>
        <w:tc>
          <w:tcPr>
            <w:tcW w:w="1350" w:type="dxa"/>
          </w:tcPr>
          <w:p w:rsidRPr="00E169F2" w:rsidR="001625A9" w:rsidP="00EA4B0D" w:rsidRDefault="001625A9" w14:paraId="7C91AD1C" w14:textId="3EBB3B19">
            <w:pPr>
              <w:cnfStyle w:firstRow="true" w:firstColumn="false" w:lastColumn="false" w:oddVBand="false" w:evenVBand="false" w:oddHBand="false" w:firstRowFirstColumn="false" w:firstRowLastColumn="false" w:lastRowFirstColumn="false" w:lastRowLastColumn="false"/>
              <w:rPr>
                <w:rFonts w:ascii="Calibri" w:hAnsi="Calibri" w:cs="Calibri"/>
              </w:rPr>
            </w:pPr>
            <w:r w:rsidRPr="00E169F2">
              <w:rPr>
                <w:rFonts w:ascii="Calibri" w:hAnsi="Calibri" w:cs="Calibri"/>
              </w:rPr>
              <w:t>Unit Price</w:t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/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38</w:t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Côte de Blaye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Aux joyeux ecclésiastiques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12 - 75 cl bottles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$263.50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/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29</w:t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Thüringer Rostbratwurst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Plutzer Lebensmittelgroßmärkte AG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 bags x 30 sausgs.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$123.79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/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9</w:t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Mishi Kobe Niku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Tokyo Traders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18 - 500 g pkgs.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$97.00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/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20</w:t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Sir Rodney's Marmalade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Specialty Biscuits, Ltd.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 gift boxes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$81.00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/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18</w:t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Carnarvon Tigers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Pavlova, Ltd.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 kg pkg.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$62.50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/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59</w:t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Raclette Courdavault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Gai pâturage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 kg pkg.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$55.00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/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51</w:t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Manjimup Dried Apples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G'day, Mate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50 - 300 g pkgs.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$53.00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</w:p>
        </w:tc>
      </w:tr>
    </w:tbl>
    <w:p w:rsidRPr="00E169F2" w:rsidR="00EA4B0D" w:rsidP="00EA4B0D" w:rsidRDefault="00EA4B0D" w14:paraId="54AEDC99" w14:textId="4FEA80A3">
      <w:pPr>
        <w:rPr>
          <w:rFonts w:ascii="Calibri" w:hAnsi="Calibri" w:cs="Calibri"/>
        </w:rPr>
      </w:pPr>
    </w:p>
    <w:p w:rsidRPr="00E169F2" w:rsidR="00EA4B0D" w:rsidP="00EA4B0D" w:rsidRDefault="00EA4B0D" w14:paraId="7255CF98" w14:textId="5AA7DF01">
      <w:pPr>
        <w:rPr>
          <w:rFonts w:ascii="Calibri" w:hAnsi="Calibri" w:cs="Calibri"/>
        </w:rPr>
      </w:pPr>
      <w:r w:rsidRPr="00E169F2">
        <w:rPr>
          <w:rFonts w:ascii="Calibri" w:hAnsi="Calibri" w:cs="Calibri"/>
        </w:rPr>
        <w:t>The end.</w:t>
      </w:r>
    </w:p>
    <w:sectPr w:rsidRPr="00E169F2" w:rsidR="00EA4B0D" w:rsidSect="00E239D9">
      <w:pgSz w:w="15840" w:h="12240" w:orient="landscape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TZhongsong">
    <w:altName w:val="华文中宋"/>
    <w:charset w:val="86"/>
    <w:family w:val="auto"/>
    <w:pitch w:val="variable"/>
    <w:sig w:usb0="00000287" w:usb1="080F0000" w:usb2="00000010" w:usb3="00000000" w:csb0="0004009F" w:csb1="00000000"/>
  </w:font>
  <w:font w:name="Majalla UI">
    <w:altName w:val="Times New Roman"/>
    <w:panose1 w:val="00000000000000000000"/>
    <w:charset w:val="00"/>
    <w:family w:val="roman"/>
    <w:notTrueType w:val="true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proofState w:spelling="clean" w:grammar="clean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EA4B0D"/>
    <w:rsid w:val="000B0057"/>
    <w:rsid w:val="000C0760"/>
    <w:rsid w:val="00131EBA"/>
    <w:rsid w:val="001625A9"/>
    <w:rsid w:val="0017745C"/>
    <w:rsid w:val="00190B6F"/>
    <w:rsid w:val="0043167D"/>
    <w:rsid w:val="0051117B"/>
    <w:rsid w:val="005807BF"/>
    <w:rsid w:val="006435AA"/>
    <w:rsid w:val="00680DE0"/>
    <w:rsid w:val="0073295C"/>
    <w:rsid w:val="00743E86"/>
    <w:rsid w:val="00971327"/>
    <w:rsid w:val="009B56C8"/>
    <w:rsid w:val="009D304B"/>
    <w:rsid w:val="00A54249"/>
    <w:rsid w:val="00AC0D5F"/>
    <w:rsid w:val="00C12C64"/>
    <w:rsid w:val="00C460D9"/>
    <w:rsid w:val="00CB0EF5"/>
    <w:rsid w:val="00CD47E3"/>
    <w:rsid w:val="00DD3EE3"/>
    <w:rsid w:val="00E104E1"/>
    <w:rsid w:val="00E169F2"/>
    <w:rsid w:val="00E239D9"/>
    <w:rsid w:val="00EA4B0D"/>
    <w:rsid w:val="00EB0D57"/>
    <w:rsid w:val="00F72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871EBA-FC26-4EBE-9E9D-F50490E66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EastAsia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true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4B0D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390F26" w:themeColor="accent1" w:themeShade="BF"/>
      <w:sz w:val="32"/>
      <w:szCs w:val="32"/>
    </w:rPr>
  </w:style>
  <w:style w:type="character" w:styleId="DefaultParagraphFont" w:default="true">
    <w:name w:val="Default Paragraph Font"/>
    <w:uiPriority w:val="1"/>
    <w:semiHidden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character" w:styleId="Heading1Char" w:customStyle="true">
    <w:name w:val="Heading 1 Char"/>
    <w:basedOn w:val="DefaultParagraphFont"/>
    <w:link w:val="Heading1"/>
    <w:uiPriority w:val="9"/>
    <w:rsid w:val="00EA4B0D"/>
    <w:rPr>
      <w:rFonts w:asciiTheme="majorHAnsi" w:hAnsiTheme="majorHAnsi" w:eastAsiaTheme="majorEastAsia" w:cstheme="majorBidi"/>
      <w:color w:val="390F2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EA4B0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GridTable4-Accent6">
    <w:name w:val="Grid Table 4 Accent 6"/>
    <w:basedOn w:val="TableNormal"/>
    <w:uiPriority w:val="49"/>
    <w:rsid w:val="001625A9"/>
    <w:pPr>
      <w:spacing w:after="0" w:line="240" w:lineRule="auto"/>
    </w:pPr>
    <w:tblPr>
      <w:tblStyleRowBandSize w:val="1"/>
      <w:tblStyleColBandSize w:val="1"/>
      <w:tblBorders>
        <w:top w:val="single" w:color="839DCC" w:themeColor="accent6" w:themeTint="99" w:sz="4" w:space="0"/>
        <w:left w:val="single" w:color="839DCC" w:themeColor="accent6" w:themeTint="99" w:sz="4" w:space="0"/>
        <w:bottom w:val="single" w:color="839DCC" w:themeColor="accent6" w:themeTint="99" w:sz="4" w:space="0"/>
        <w:right w:val="single" w:color="839DCC" w:themeColor="accent6" w:themeTint="99" w:sz="4" w:space="0"/>
        <w:insideH w:val="single" w:color="839DCC" w:themeColor="accent6" w:themeTint="99" w:sz="4" w:space="0"/>
        <w:insideV w:val="single" w:color="839DCC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0619D" w:themeColor="accent6" w:sz="4" w:space="0"/>
          <w:left w:val="single" w:color="40619D" w:themeColor="accent6" w:sz="4" w:space="0"/>
          <w:bottom w:val="single" w:color="40619D" w:themeColor="accent6" w:sz="4" w:space="0"/>
          <w:right w:val="single" w:color="40619D" w:themeColor="accent6" w:sz="4" w:space="0"/>
          <w:insideH w:val="nil"/>
          <w:insideV w:val="nil"/>
        </w:tcBorders>
        <w:shd w:val="clear" w:color="auto" w:fill="40619D" w:themeFill="accent6"/>
      </w:tcPr>
    </w:tblStylePr>
    <w:tblStylePr w:type="lastRow">
      <w:rPr>
        <w:b/>
        <w:bCs/>
      </w:rPr>
      <w:tblPr/>
      <w:tcPr>
        <w:tcBorders>
          <w:top w:val="double" w:color="40619D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EEE" w:themeFill="accent6" w:themeFillTint="33"/>
      </w:tcPr>
    </w:tblStylePr>
    <w:tblStylePr w:type="band1Horz">
      <w:tblPr/>
      <w:tcPr>
        <w:shd w:val="clear" w:color="auto" w:fill="D5DEEE" w:themeFill="accent6" w:themeFillTint="33"/>
      </w:tcPr>
    </w:tblStylePr>
  </w:style>
  <w:style w:type="character" w:styleId="Strong">
    <w:name w:val="Strong"/>
    <w:basedOn w:val="DefaultParagraphFont"/>
    <w:uiPriority w:val="22"/>
    <w:qFormat/>
    <w:rsid w:val="00CD47E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Id2" /><Relationship Type="http://schemas.openxmlformats.org/officeDocument/2006/relationships/theme" Target="/word/theme/theme1.xml" Id="rId5" /><Relationship Type="http://schemas.openxmlformats.org/officeDocument/2006/relationships/styles" Target="/word/styles.xml" Id="rId1" /><Relationship Type="http://schemas.openxmlformats.org/officeDocument/2006/relationships/fontTable" Target="/word/fontTable.xml" Id="rId4" /><Relationship Type="http://schemas.openxmlformats.org/officeDocument/2006/relationships/webSettings" Target="/word/webSettings.xml" Id="rId3" /></Relationships>
</file>

<file path=word/theme/theme1.xml><?xml version="1.0" encoding="utf-8"?>
<a:theme xmlns:a="http://schemas.openxmlformats.org/drawingml/2006/main" name="Dividend">
  <a:themeElements>
    <a:clrScheme name="Dividend">
      <a:dk1>
        <a:sysClr val="windowText" lastClr="000000"/>
      </a:dk1>
      <a:lt1>
        <a:sysClr val="window" lastClr="FFFFFF"/>
      </a:lt1>
      <a:dk2>
        <a:srgbClr val="3D3D3D"/>
      </a:dk2>
      <a:lt2>
        <a:srgbClr val="EBEBEB"/>
      </a:lt2>
      <a:accent1>
        <a:srgbClr val="4D1434"/>
      </a:accent1>
      <a:accent2>
        <a:srgbClr val="903163"/>
      </a:accent2>
      <a:accent3>
        <a:srgbClr val="B2324B"/>
      </a:accent3>
      <a:accent4>
        <a:srgbClr val="969FA7"/>
      </a:accent4>
      <a:accent5>
        <a:srgbClr val="66B1CE"/>
      </a:accent5>
      <a:accent6>
        <a:srgbClr val="40619D"/>
      </a:accent6>
      <a:hlink>
        <a:srgbClr val="828282"/>
      </a:hlink>
      <a:folHlink>
        <a:srgbClr val="A5A5A5"/>
      </a:folHlink>
    </a:clrScheme>
    <a:fontScheme name="Dividend">
      <a:maj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Dividend">
      <a:fillStyleLst>
        <a:solidFill>
          <a:schemeClr val="phClr"/>
        </a:solidFill>
        <a:gradFill flip="none" rotWithShape="1">
          <a:gsLst>
            <a:gs pos="0">
              <a:schemeClr val="phClr">
                <a:tint val="68000"/>
                <a:alpha val="90000"/>
                <a:lumMod val="100000"/>
              </a:schemeClr>
            </a:gs>
            <a:gs pos="100000">
              <a:schemeClr val="phClr">
                <a:tint val="90000"/>
                <a:lumMod val="95000"/>
              </a:schemeClr>
            </a:gs>
          </a:gsLst>
          <a:lin ang="5400000" scaled="1"/>
          <a:tileRect/>
        </a:gradFill>
        <a:gradFill flip="none" rotWithShape="1">
          <a:gsLst>
            <a:gs pos="0">
              <a:schemeClr val="phClr">
                <a:tint val="98000"/>
                <a:lumMod val="110000"/>
              </a:schemeClr>
            </a:gs>
            <a:gs pos="84000">
              <a:schemeClr val="phClr">
                <a:shade val="90000"/>
                <a:lumMod val="88000"/>
              </a:schemeClr>
            </a:gs>
          </a:gsLst>
          <a:lin ang="5400000" scaled="0"/>
          <a:tileRect/>
        </a:gradFill>
      </a:fillStyleLst>
      <a:lnStyleLst>
        <a:ln w="12700" cap="rnd" cmpd="sng" algn="ctr">
          <a:solidFill>
            <a:schemeClr val="phClr">
              <a:lumMod val="90000"/>
            </a:schemeClr>
          </a:solidFill>
          <a:prstDash val="solid"/>
        </a:ln>
        <a:ln w="22225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55000"/>
              </a:srgbClr>
            </a:outerShdw>
          </a:effectLst>
        </a:effectStyle>
        <a:effectStyle>
          <a:effectLst>
            <a:outerShdw blurRad="88900" dist="38100" dir="504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1200000"/>
            </a:lightRig>
          </a:scene3d>
          <a:sp3d>
            <a:bevelT w="38100" h="508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tint val="90000"/>
                <a:lumMod val="110000"/>
              </a:schemeClr>
            </a:gs>
            <a:gs pos="88000">
              <a:schemeClr val="phClr">
                <a:shade val="94000"/>
                <a:satMod val="110000"/>
                <a:lumMod val="88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8000"/>
                <a:satMod val="110000"/>
                <a:lumMod val="86000"/>
              </a:schemeClr>
            </a:gs>
          </a:gsLst>
          <a:path path="circle">
            <a:fillToRect l="50000" t="50000" r="100000" b="100000"/>
          </a:path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Dividend" id="{9697A71B-4AB7-4A1A-BD5B-BB2D22835B57}" vid="{C21699FF-00E4-43C8-BBCC-D7E5536C3717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Dmitry Yaitskov</dc:creator>
  <cp:keywords/>
  <dc:description/>
  <cp:lastModifiedBy>Dmitry Yaitskov</cp:lastModifiedBy>
  <cp:revision>27</cp:revision>
  <dcterms:created xsi:type="dcterms:W3CDTF">2020-10-08T20:41:00Z</dcterms:created>
  <dcterms:modified xsi:type="dcterms:W3CDTF">2024-02-13T22:32:00Z</dcterms:modified>
</cp:coreProperties>
</file>