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3152a4dfe4234ea4" /><Relationship Type="http://schemas.openxmlformats.org/package/2006/relationships/metadata/core-properties" Target="/docProps/core.xml" Id="Rb7c3a4c3d0f14606" /><Relationship Type="http://schemas.openxmlformats.org/officeDocument/2006/relationships/extended-properties" Target="/docProps/app.xml" Id="R916a9c7a7d454188"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pStyle w:val="Heading1"/>
      </w:pPr>
      <w:r>
        <w:t>Report templates: calc operators</w:t>
      </w:r>
    </w:p>
    <w:p>
      <w:r>
        <w:t>This example demonstrates the available binary and unary operators that can be used with the 'calc' report templates feature to perform various operations on data.For example, to insert the remainder of the division of two data fields, the template '{{calc ds.a Mod ds.b)}}' can be used. The data source used in this demo contains a single record with random decimal and string values. Please see this example's source code for full details.</w:t>
      </w:r>
    </w:p>
    <w:p>
      <w:pPr>
        <w:pStyle w:val="Heading3"/>
        <w:numPr>
          <w:numId w:val="1"/>
        </w:numPr>
      </w:pPr>
      <w:r>
        <w:t xml:space="preserve">Data</w:t>
        <w:tab/>
        <w:t xml:space="preserve">{​​​​{ds.a}}:</w:t>
        <w:tab/>
      </w:r>
      <w:r>
        <w:rPr>
          <w:rStyle w:val="Strong"/>
        </w:rPr>
        <w:t>15286.97</w:t>
      </w:r>
    </w:p>
    <w:p>
      <w:pPr>
        <w:pStyle w:val="Heading3"/>
        <w:numPr>
          <w:numId w:val="1"/>
        </w:numPr>
      </w:pPr>
      <w:r>
        <w:t xml:space="preserve">Data</w:t>
        <w:tab/>
        <w:t xml:space="preserve">{​​​​{ds.b}}:</w:t>
        <w:tab/>
      </w:r>
      <w:r>
        <w:rPr>
          <w:rStyle w:val="Strong"/>
        </w:rPr>
        <w:t>31373.06</w:t>
      </w:r>
    </w:p>
    <w:p>
      <w:pPr>
        <w:pStyle w:val="Heading3"/>
        <w:numPr>
          <w:numId w:val="1"/>
        </w:numPr>
      </w:pPr>
      <w:r>
        <w:t xml:space="preserve">Data</w:t>
        <w:tab/>
        <w:t xml:space="preserve">{​​​​{ds.ta}}:</w:t>
        <w:tab/>
      </w:r>
      <w:r>
        <w:rPr>
          <w:rStyle w:val="Strong"/>
        </w:rPr>
        <w:t>ante</w:t>
      </w:r>
    </w:p>
    <w:p>
      <w:pPr>
        <w:pStyle w:val="Heading3"/>
        <w:numPr>
          <w:numId w:val="1"/>
        </w:numPr>
      </w:pPr>
      <w:r>
        <w:t xml:space="preserve">Data</w:t>
        <w:tab/>
        <w:t xml:space="preserve">{​​​​{ds.tb}}:</w:t>
        <w:tab/>
      </w:r>
      <w:r>
        <w:rPr>
          <w:rStyle w:val="Strong"/>
        </w:rPr>
        <w:t>laoreet</w:t>
      </w:r>
    </w:p>
    <w:p>
      <w:pPr>
        <w:pStyle w:val="Heading3"/>
        <w:numPr>
          <w:numId w:val="1"/>
        </w:numPr>
      </w:pPr>
      <w:r>
        <w:t xml:space="preserve">Add</w:t>
        <w:tab/>
        <w:t xml:space="preserve">{​​​​{calc ds.a + ds.b}}:</w:t>
        <w:tab/>
      </w:r>
      <w:r>
        <w:rPr>
          <w:rStyle w:val="Strong"/>
        </w:rPr>
        <w:t/>
        <w:t/>
        <w:t>46660.03</w:t>
        <w:t/>
        <w:t/>
      </w:r>
    </w:p>
    <w:p>
      <w:pPr>
        <w:pStyle w:val="Heading3"/>
        <w:numPr>
          <w:numId w:val="1"/>
        </w:numPr>
      </w:pPr>
      <w:r>
        <w:t xml:space="preserve">Subtract</w:t>
        <w:tab/>
        <w:t xml:space="preserve">{​​​​{calc ds.a - ds.b}}:</w:t>
        <w:tab/>
      </w:r>
      <w:r>
        <w:rPr>
          <w:rStyle w:val="Strong"/>
        </w:rPr>
        <w:t/>
        <w:t/>
        <w:t>-16086.090000000002</w:t>
        <w:t/>
        <w:t/>
      </w:r>
    </w:p>
    <w:p>
      <w:pPr>
        <w:pStyle w:val="Heading3"/>
        <w:numPr>
          <w:numId w:val="1"/>
        </w:numPr>
      </w:pPr>
      <w:r>
        <w:t xml:space="preserve">Multiply</w:t>
        <w:tab/>
        <w:t xml:space="preserve">{​​​​{calc ds.a * ds.b}}:</w:t>
        <w:tab/>
      </w:r>
      <w:r>
        <w:rPr>
          <w:rStyle w:val="Strong"/>
        </w:rPr>
        <w:t/>
        <w:t/>
        <w:t>479599027.0282</w:t>
        <w:t/>
        <w:t/>
      </w:r>
    </w:p>
    <w:p>
      <w:pPr>
        <w:pStyle w:val="Heading3"/>
        <w:numPr>
          <w:numId w:val="1"/>
        </w:numPr>
      </w:pPr>
      <w:r>
        <w:t xml:space="preserve">Divide</w:t>
        <w:tab/>
        <w:t xml:space="preserve">{​​​​{calc ds.a / ds.b}}:</w:t>
        <w:tab/>
      </w:r>
      <w:r>
        <w:rPr>
          <w:rStyle w:val="Strong"/>
        </w:rPr>
        <w:t/>
        <w:t/>
        <w:t>0.48726423243381417</w:t>
        <w:t/>
        <w:t/>
      </w:r>
    </w:p>
    <w:p>
      <w:pPr>
        <w:pStyle w:val="Heading3"/>
        <w:numPr>
          <w:numId w:val="1"/>
        </w:numPr>
      </w:pPr>
      <w:r>
        <w:t xml:space="preserve">Modulus</w:t>
        <w:tab/>
        <w:t xml:space="preserve">{​​​​{calc ds.a Mod ds.b}}:</w:t>
        <w:tab/>
      </w:r>
      <w:r>
        <w:rPr>
          <w:rStyle w:val="Strong"/>
        </w:rPr>
        <w:t/>
        <w:t/>
        <w:t>15286</w:t>
        <w:t/>
        <w:t/>
      </w:r>
    </w:p>
    <w:p>
      <w:pPr>
        <w:pStyle w:val="Heading3"/>
        <w:numPr>
          <w:numId w:val="1"/>
        </w:numPr>
      </w:pPr>
      <w:r>
        <w:t xml:space="preserve">Concatenate</w:t>
        <w:tab/>
        <w:t xml:space="preserve">{​​​​{calc ds.ta &amp; ds.tb}}:</w:t>
        <w:tab/>
      </w:r>
      <w:r>
        <w:rPr>
          <w:rStyle w:val="Strong"/>
        </w:rPr>
        <w:t/>
        <w:t/>
        <w:t>antelaoreet</w:t>
        <w:t/>
        <w:t/>
      </w:r>
    </w:p>
    <w:p>
      <w:pPr>
        <w:pStyle w:val="Heading3"/>
        <w:numPr>
          <w:numId w:val="1"/>
        </w:numPr>
      </w:pPr>
      <w:r>
        <w:t xml:space="preserve">Equal</w:t>
        <w:tab/>
        <w:t xml:space="preserve">{​​​​{calc ds.a = ds.b}}:</w:t>
        <w:tab/>
      </w:r>
      <w:r>
        <w:rPr>
          <w:rStyle w:val="Strong"/>
        </w:rPr>
        <w:t/>
        <w:t/>
        <w:t>False</w:t>
        <w:t/>
        <w:t/>
      </w:r>
    </w:p>
    <w:p>
      <w:pPr>
        <w:pStyle w:val="Heading3"/>
        <w:numPr>
          <w:numId w:val="1"/>
        </w:numPr>
      </w:pPr>
      <w:r>
        <w:t xml:space="preserve">Not equal</w:t>
        <w:tab/>
        <w:t xml:space="preserve">{​​​​{calc ds.a &lt;&gt; ds.b}}:</w:t>
        <w:tab/>
      </w:r>
      <w:r>
        <w:rPr>
          <w:rStyle w:val="Strong"/>
        </w:rPr>
        <w:t/>
        <w:t/>
        <w:t>True</w:t>
        <w:t/>
        <w:t/>
      </w:r>
    </w:p>
    <w:p>
      <w:pPr>
        <w:pStyle w:val="Heading3"/>
        <w:numPr>
          <w:numId w:val="1"/>
        </w:numPr>
      </w:pPr>
      <w:r>
        <w:t xml:space="preserve">Greater than</w:t>
        <w:tab/>
        <w:t xml:space="preserve">{​​​​{calc ds.a &gt; ds.b}}:</w:t>
        <w:tab/>
      </w:r>
      <w:r>
        <w:rPr>
          <w:rStyle w:val="Strong"/>
        </w:rPr>
        <w:t/>
        <w:t/>
        <w:t>False</w:t>
        <w:t/>
        <w:t/>
      </w:r>
    </w:p>
    <w:p>
      <w:pPr>
        <w:pStyle w:val="Heading3"/>
        <w:numPr>
          <w:numId w:val="1"/>
        </w:numPr>
      </w:pPr>
      <w:r>
        <w:t xml:space="preserve">Greater or equal</w:t>
        <w:tab/>
        <w:t xml:space="preserve">{​​​​{calc ds.a &gt;= ds.b}}:</w:t>
        <w:tab/>
      </w:r>
      <w:r>
        <w:rPr>
          <w:rStyle w:val="Strong"/>
        </w:rPr>
        <w:t/>
        <w:t/>
        <w:t>False</w:t>
        <w:t/>
        <w:t/>
      </w:r>
    </w:p>
    <w:p>
      <w:pPr>
        <w:pStyle w:val="Heading3"/>
        <w:numPr>
          <w:numId w:val="1"/>
        </w:numPr>
      </w:pPr>
      <w:r>
        <w:t xml:space="preserve">Less than</w:t>
        <w:tab/>
        <w:t xml:space="preserve">{​​​​{calc ds.a &lt; ds.b}}:</w:t>
        <w:tab/>
      </w:r>
      <w:r>
        <w:rPr>
          <w:rStyle w:val="Strong"/>
        </w:rPr>
        <w:t/>
        <w:t/>
        <w:t>True</w:t>
        <w:t/>
        <w:t/>
      </w:r>
    </w:p>
    <w:p>
      <w:pPr>
        <w:pStyle w:val="Heading3"/>
        <w:numPr>
          <w:numId w:val="1"/>
        </w:numPr>
      </w:pPr>
      <w:r>
        <w:t xml:space="preserve">Less or equal</w:t>
        <w:tab/>
        <w:t xml:space="preserve">{​​​​{calc ds.a &lt;= ds.b}}:</w:t>
        <w:tab/>
      </w:r>
      <w:r>
        <w:rPr>
          <w:rStyle w:val="Strong"/>
        </w:rPr>
        <w:t/>
        <w:t/>
        <w:t>True</w:t>
        <w:t/>
        <w:t/>
      </w:r>
    </w:p>
    <w:p>
      <w:pPr>
        <w:pStyle w:val="Heading3"/>
        <w:numPr>
          <w:numId w:val="1"/>
        </w:numPr>
      </w:pPr>
      <w:r>
        <w:t xml:space="preserve">Logical And</w:t>
        <w:tab/>
        <w:t xml:space="preserve">{​​​​{calc ds.a And ds.b}}:</w:t>
        <w:tab/>
      </w:r>
      <w:r>
        <w:rPr>
          <w:rStyle w:val="Strong"/>
        </w:rPr>
        <w:t/>
        <w:t/>
        <w:t>True</w:t>
        <w:t/>
        <w:t/>
      </w:r>
    </w:p>
    <w:p>
      <w:pPr>
        <w:pStyle w:val="Heading3"/>
        <w:numPr>
          <w:numId w:val="1"/>
        </w:numPr>
      </w:pPr>
      <w:r>
        <w:t xml:space="preserve">Logical Or</w:t>
        <w:tab/>
        <w:t xml:space="preserve">{​​​​{calc ds.a Or ds.b}}:</w:t>
        <w:tab/>
      </w:r>
      <w:r>
        <w:rPr>
          <w:rStyle w:val="Strong"/>
        </w:rPr>
        <w:t/>
        <w:t/>
        <w:t>True</w:t>
        <w:t/>
        <w:t/>
      </w:r>
    </w:p>
    <w:p>
      <w:pPr>
        <w:pStyle w:val="Heading3"/>
        <w:numPr>
          <w:numId w:val="1"/>
        </w:numPr>
      </w:pPr>
      <w:r>
        <w:t xml:space="preserve">Logical Not</w:t>
        <w:tab/>
        <w:t xml:space="preserve">{​​​​{calc Not ds.a}}:</w:t>
        <w:tab/>
      </w:r>
      <w:r>
        <w:rPr>
          <w:rStyle w:val="Strong"/>
        </w:rPr>
        <w:t/>
        <w:t>False</w:t>
        <w:t/>
      </w:r>
    </w:p>
    <w:sectPr>
      <w:pgSz w:w="12240" w:h="15840"/>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multiLevelType w:val="hybridMultilevel"/>
    <w:name w:val="bulletListTemplate"/>
    <w:lvl w:ilvl="0" w:tplc="04090001">
      <w:start w:val="1"/>
      <w:numFmt w:val="bullet"/>
      <w:lvlText w:val=""/>
      <w:lvlJc w:val="left"/>
      <w:pPr>
        <w:ind w:left="720" w:hanging="360" w:firstLineChars="0"/>
      </w:pPr>
      <w:rPr>
        <w:rFonts w:hint="default" w:ascii="Symbol" w:hAnsi="Symbol"/>
      </w:rPr>
    </w:lvl>
    <w:lvl w:ilvl="1" w:tplc="04090003">
      <w:start w:val="1"/>
      <w:numFmt w:val="bullet"/>
      <w:lvlText w:val="o"/>
      <w:lvlJc w:val="left"/>
      <w:pPr>
        <w:ind w:left="1080" w:hanging="360" w:firstLineChars="0"/>
      </w:pPr>
      <w:rPr>
        <w:rFonts w:hint="default" w:ascii="Courier New" w:hAnsi="Courier New" w:cs="Courier New"/>
      </w:rPr>
    </w:lvl>
    <w:lvl w:ilvl="2" w:tplc="04090005">
      <w:start w:val="1"/>
      <w:numFmt w:val="bullet"/>
      <w:lvlText w:val=""/>
      <w:lvlJc w:val="left"/>
      <w:pPr>
        <w:ind w:left="1440" w:hanging="360" w:firstLineChars="0"/>
      </w:pPr>
      <w:rPr>
        <w:rFonts w:hint="default" w:ascii="Wingdings" w:hAnsi="Wingdings"/>
      </w:rPr>
    </w:lvl>
    <w:lvl w:ilvl="3" w:tplc="04090001">
      <w:start w:val="1"/>
      <w:numFmt w:val="bullet"/>
      <w:lvlText w:val=""/>
      <w:lvlJc w:val="left"/>
      <w:pPr>
        <w:ind w:left="1800" w:hanging="360" w:firstLineChars="0"/>
      </w:pPr>
      <w:rPr>
        <w:rFonts w:hint="default" w:ascii="Symbol" w:hAnsi="Symbol"/>
      </w:rPr>
    </w:lvl>
    <w:lvl w:ilvl="4" w:tplc="04090003">
      <w:start w:val="1"/>
      <w:numFmt w:val="bullet"/>
      <w:lvlText w:val="o"/>
      <w:lvlJc w:val="left"/>
      <w:pPr>
        <w:ind w:left="2160" w:hanging="360" w:firstLineChars="0"/>
      </w:pPr>
      <w:rPr>
        <w:rFonts w:hint="default" w:ascii="Courier New" w:hAnsi="Courier New" w:cs="Courier New"/>
      </w:rPr>
    </w:lvl>
    <w:lvl w:ilvl="5" w:tplc="04090005">
      <w:start w:val="1"/>
      <w:numFmt w:val="bullet"/>
      <w:lvlText w:val=""/>
      <w:lvlJc w:val="left"/>
      <w:pPr>
        <w:ind w:left="2520" w:hanging="360" w:firstLineChars="0"/>
      </w:pPr>
      <w:rPr>
        <w:rFonts w:hint="default" w:ascii="Wingdings" w:hAnsi="Wingdings"/>
      </w:rPr>
    </w:lvl>
    <w:lvl w:ilvl="6" w:tplc="04090001">
      <w:start w:val="1"/>
      <w:numFmt w:val="bullet"/>
      <w:lvlText w:val=""/>
      <w:lvlJc w:val="left"/>
      <w:pPr>
        <w:ind w:left="2880" w:hanging="360" w:firstLineChars="0"/>
      </w:pPr>
      <w:rPr>
        <w:rFonts w:hint="default" w:ascii="Symbol" w:hAnsi="Symbol"/>
      </w:rPr>
    </w:lvl>
    <w:lvl w:ilvl="7" w:tplc="04090003">
      <w:start w:val="1"/>
      <w:numFmt w:val="bullet"/>
      <w:lvlText w:val="o"/>
      <w:lvlJc w:val="left"/>
      <w:pPr>
        <w:ind w:left="3240" w:hanging="360" w:firstLineChars="0"/>
      </w:pPr>
      <w:rPr>
        <w:rFonts w:hint="default" w:ascii="Courier New" w:hAnsi="Courier New" w:cs="Courier New"/>
      </w:rPr>
    </w:lvl>
    <w:lvl w:ilvl="8" w:tplc="04090005">
      <w:start w:val="1"/>
      <w:numFmt w:val="bullet"/>
      <w:lvlText w:val=""/>
      <w:lvlJc w:val="left"/>
      <w:pPr>
        <w:ind w:left="3600" w:hanging="360" w:firstLineChars="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paragraph" w:styleId="Heading1">
    <w:name w:val="heading 1"/>
    <w:basedOn w:val="Normal"/>
    <w:next w:val="Normal"/>
    <w:link w:val="Heading1Char"/>
    <w:uiPriority w:val="9"/>
    <w:qFormat/>
    <w:pPr>
      <w:keepNext/>
      <w:keepLines/>
      <w:numPr>
        <w:numId w:val="0"/>
      </w:numPr>
      <w:spacing w:before="240" w:after="0"/>
      <w:outlineLvl w:val="0"/>
    </w:pPr>
    <w:rPr>
      <w:rFonts w:asciiTheme="majorHAnsi" w:hAnsiTheme="majorHAnsi" w:eastAsiaTheme="majorEastAsia" w:cstheme="majorBidi"/>
      <w:color w:val="2F5496" w:themeColor="accent1" w:themeShade="BF"/>
      <w:sz w:val="32"/>
      <w:szCs w:val="32"/>
    </w:rPr>
  </w:style>
  <w:style w:type="paragraph" w:styleId="Heading3">
    <w:name w:val="heading 3"/>
    <w:basedOn w:val="Normal"/>
    <w:next w:val="Normal"/>
    <w:link w:val="Heading3Char"/>
    <w:uiPriority w:val="9"/>
    <w:unhideWhenUsed/>
    <w:qFormat/>
    <w:pPr>
      <w:keepNext/>
      <w:keepLines/>
      <w:numPr>
        <w:ilvl w:val="2"/>
        <w:numId w:val="0"/>
      </w:numPr>
      <w:tabs>
        <w:tab w:val="left" w:pos="2600"/>
        <w:tab w:val="left" w:pos="5200"/>
      </w:tabs>
      <w:spacing w:before="40" w:after="0"/>
      <w:outlineLvl w:val="2"/>
    </w:pPr>
    <w:rPr>
      <w:rFonts w:asciiTheme="majorHAnsi" w:hAnsiTheme="majorHAnsi" w:eastAsiaTheme="majorEastAsia" w:cstheme="majorBidi"/>
      <w:color w:val="1F3763" w:themeColor="accent1" w:themeShade="7F"/>
      <w:sz w:val="24"/>
      <w:szCs w:val="24"/>
    </w:rPr>
  </w:style>
  <w:style w:type="character" w:styleId="DefaultParagraphFont" w:default="true">
    <w:name w:val="Default Paragraph Font"/>
    <w:uiPriority w:val="1"/>
    <w:unhideWhenUsed/>
  </w:style>
  <w:style w:type="character" w:styleId="Strong">
    <w:name w:val="Strong"/>
    <w:basedOn w:val="DefaultParagraphFont"/>
    <w:uiPriority w:val="22"/>
    <w:qFormat/>
    <w:rPr>
      <w:b/>
      <w:bCs/>
    </w:rPr>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ad4272850b724a62" /><Relationship Type="http://schemas.openxmlformats.org/officeDocument/2006/relationships/theme" Target="/word/theme/theme1.xml" Id="R91fce24fc3e14e91" /><Relationship Type="http://schemas.openxmlformats.org/officeDocument/2006/relationships/styles" Target="/word/styles.xml" Id="R42c49f71c1e04d04" /><Relationship Type="http://schemas.openxmlformats.org/officeDocument/2006/relationships/numbering" Target="/word/numbering.xml" Id="Ra004aa73d8714a9e" /><Relationship Type="http://schemas.openxmlformats.org/officeDocument/2006/relationships/fontTable" Target="/word/fontTable.xml" Id="R29927a8b3df54a5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