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a119732128014fd0" /><Relationship Type="http://schemas.openxmlformats.org/package/2006/relationships/metadata/core-properties" Target="/docProps/core.xml" Id="Rf8abb633c7294100" /><Relationship Type="http://schemas.openxmlformats.org/officeDocument/2006/relationships/extended-properties" Target="/docProps/app.xml" Id="R393e37cf38ac4406"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t>Report templates: calc operators</w:t>
      </w:r>
    </w:p>
    <w:p>
      <w:r>
        <w:t>This example demonstrates the available binary and unary operators that can be used with the 'calc' report templates feature to perform various operations on data.For example, to insert the remainder of the division of two data fields, the template '{{calc ds.a Mod ds.b)}}' can be used. The data source used in this demo contains a single record with random decimal and string values. Please see this example's source code for full details.</w:t>
      </w:r>
    </w:p>
    <w:p>
      <w:pPr>
        <w:pStyle w:val="Heading3"/>
        <w:numPr>
          <w:numId w:val="1"/>
        </w:numPr>
      </w:pPr>
      <w:r>
        <w:t xml:space="preserve">Data</w:t>
        <w:tab/>
        <w:t xml:space="preserve">{​​​​{ds.a}}:</w:t>
        <w:tab/>
      </w:r>
      <w:r>
        <w:rPr>
          <w:rStyle w:val="Strong"/>
        </w:rPr>
        <w:t>8337.3</w:t>
      </w:r>
    </w:p>
    <w:p>
      <w:pPr>
        <w:pStyle w:val="Heading3"/>
        <w:numPr>
          <w:numId w:val="1"/>
        </w:numPr>
      </w:pPr>
      <w:r>
        <w:t xml:space="preserve">Data</w:t>
        <w:tab/>
        <w:t xml:space="preserve">{​​​​{ds.b}}:</w:t>
        <w:tab/>
      </w:r>
      <w:r>
        <w:rPr>
          <w:rStyle w:val="Strong"/>
        </w:rPr>
        <w:t>35416.12</w:t>
      </w:r>
    </w:p>
    <w:p>
      <w:pPr>
        <w:pStyle w:val="Heading3"/>
        <w:numPr>
          <w:numId w:val="1"/>
        </w:numPr>
      </w:pPr>
      <w:r>
        <w:t xml:space="preserve">Data</w:t>
        <w:tab/>
        <w:t xml:space="preserve">{​​​​{ds.ta}}:</w:t>
        <w:tab/>
      </w:r>
      <w:r>
        <w:rPr>
          <w:rStyle w:val="Strong"/>
        </w:rPr>
        <w:t>lobortis</w:t>
      </w:r>
    </w:p>
    <w:p>
      <w:pPr>
        <w:pStyle w:val="Heading3"/>
        <w:numPr>
          <w:numId w:val="1"/>
        </w:numPr>
      </w:pPr>
      <w:r>
        <w:t xml:space="preserve">Data</w:t>
        <w:tab/>
        <w:t xml:space="preserve">{​​​​{ds.tb}}:</w:t>
        <w:tab/>
      </w:r>
      <w:r>
        <w:rPr>
          <w:rStyle w:val="Strong"/>
        </w:rPr>
        <w:t>sem</w:t>
      </w:r>
    </w:p>
    <w:p>
      <w:pPr>
        <w:pStyle w:val="Heading3"/>
        <w:numPr>
          <w:numId w:val="1"/>
        </w:numPr>
      </w:pPr>
      <w:r>
        <w:t xml:space="preserve">Add</w:t>
        <w:tab/>
        <w:t xml:space="preserve">{​​​​{calc ds.a + ds.b}}:</w:t>
        <w:tab/>
      </w:r>
      <w:r>
        <w:rPr>
          <w:rStyle w:val="Strong"/>
        </w:rPr>
        <w:t/>
        <w:t/>
        <w:t>43753.42</w:t>
        <w:t/>
        <w:t/>
      </w:r>
    </w:p>
    <w:p>
      <w:pPr>
        <w:pStyle w:val="Heading3"/>
        <w:numPr>
          <w:numId w:val="1"/>
        </w:numPr>
      </w:pPr>
      <w:r>
        <w:t xml:space="preserve">Subtract</w:t>
        <w:tab/>
        <w:t xml:space="preserve">{​​​​{calc ds.a - ds.b}}:</w:t>
        <w:tab/>
      </w:r>
      <w:r>
        <w:rPr>
          <w:rStyle w:val="Strong"/>
        </w:rPr>
        <w:t/>
        <w:t/>
        <w:t>-27078.820000000003</w:t>
        <w:t/>
        <w:t/>
      </w:r>
    </w:p>
    <w:p>
      <w:pPr>
        <w:pStyle w:val="Heading3"/>
        <w:numPr>
          <w:numId w:val="1"/>
        </w:numPr>
      </w:pPr>
      <w:r>
        <w:t xml:space="preserve">Multiply</w:t>
        <w:tab/>
        <w:t xml:space="preserve">{​​​​{calc ds.a * ds.b}}:</w:t>
        <w:tab/>
      </w:r>
      <w:r>
        <w:rPr>
          <w:rStyle w:val="Strong"/>
        </w:rPr>
        <w:t/>
        <w:t/>
        <w:t>295274817.276</w:t>
        <w:t/>
        <w:t/>
      </w:r>
    </w:p>
    <w:p>
      <w:pPr>
        <w:pStyle w:val="Heading3"/>
        <w:numPr>
          <w:numId w:val="1"/>
        </w:numPr>
      </w:pPr>
      <w:r>
        <w:t xml:space="preserve">Divide</w:t>
        <w:tab/>
        <w:t xml:space="preserve">{​​​​{calc ds.a / ds.b}}:</w:t>
        <w:tab/>
      </w:r>
      <w:r>
        <w:rPr>
          <w:rStyle w:val="Strong"/>
        </w:rPr>
        <w:t/>
        <w:t/>
        <w:t>0.23540975126580774</w:t>
        <w:t/>
        <w:t/>
      </w:r>
    </w:p>
    <w:p>
      <w:pPr>
        <w:pStyle w:val="Heading3"/>
        <w:numPr>
          <w:numId w:val="1"/>
        </w:numPr>
      </w:pPr>
      <w:r>
        <w:t xml:space="preserve">Modulus</w:t>
        <w:tab/>
        <w:t xml:space="preserve">{​​​​{calc ds.a Mod ds.b}}:</w:t>
        <w:tab/>
      </w:r>
      <w:r>
        <w:rPr>
          <w:rStyle w:val="Strong"/>
        </w:rPr>
        <w:t/>
        <w:t/>
        <w:t>8337</w:t>
        <w:t/>
        <w:t/>
      </w:r>
    </w:p>
    <w:p>
      <w:pPr>
        <w:pStyle w:val="Heading3"/>
        <w:numPr>
          <w:numId w:val="1"/>
        </w:numPr>
      </w:pPr>
      <w:r>
        <w:t xml:space="preserve">Concatenate</w:t>
        <w:tab/>
        <w:t xml:space="preserve">{​​​​{calc ds.ta &amp; ds.tb}}:</w:t>
        <w:tab/>
      </w:r>
      <w:r>
        <w:rPr>
          <w:rStyle w:val="Strong"/>
        </w:rPr>
        <w:t/>
        <w:t/>
        <w:t>lobortissem</w:t>
        <w:t/>
        <w:t/>
      </w:r>
    </w:p>
    <w:p>
      <w:pPr>
        <w:pStyle w:val="Heading3"/>
        <w:numPr>
          <w:numId w:val="1"/>
        </w:numPr>
      </w:pPr>
      <w:r>
        <w:t xml:space="preserve">Equal</w:t>
        <w:tab/>
        <w:t xml:space="preserve">{​​​​{calc ds.a = ds.b}}:</w:t>
        <w:tab/>
      </w:r>
      <w:r>
        <w:rPr>
          <w:rStyle w:val="Strong"/>
        </w:rPr>
        <w:t/>
        <w:t/>
        <w:t>False</w:t>
        <w:t/>
        <w:t/>
      </w:r>
    </w:p>
    <w:p>
      <w:pPr>
        <w:pStyle w:val="Heading3"/>
        <w:numPr>
          <w:numId w:val="1"/>
        </w:numPr>
      </w:pPr>
      <w:r>
        <w:t xml:space="preserve">Not equal</w:t>
        <w:tab/>
        <w:t xml:space="preserve">{​​​​{calc ds.a &lt;&gt; ds.b}}:</w:t>
        <w:tab/>
      </w:r>
      <w:r>
        <w:rPr>
          <w:rStyle w:val="Strong"/>
        </w:rPr>
        <w:t/>
        <w:t/>
        <w:t>True</w:t>
        <w:t/>
        <w:t/>
      </w:r>
    </w:p>
    <w:p>
      <w:pPr>
        <w:pStyle w:val="Heading3"/>
        <w:numPr>
          <w:numId w:val="1"/>
        </w:numPr>
      </w:pPr>
      <w:r>
        <w:t xml:space="preserve">Greater than</w:t>
        <w:tab/>
        <w:t xml:space="preserve">{​​​​{calc ds.a &gt; ds.b}}:</w:t>
        <w:tab/>
      </w:r>
      <w:r>
        <w:rPr>
          <w:rStyle w:val="Strong"/>
        </w:rPr>
        <w:t/>
        <w:t/>
        <w:t>False</w:t>
        <w:t/>
        <w:t/>
      </w:r>
    </w:p>
    <w:p>
      <w:pPr>
        <w:pStyle w:val="Heading3"/>
        <w:numPr>
          <w:numId w:val="1"/>
        </w:numPr>
      </w:pPr>
      <w:r>
        <w:t xml:space="preserve">Greater or equal</w:t>
        <w:tab/>
        <w:t xml:space="preserve">{​​​​{calc ds.a &gt;= ds.b}}:</w:t>
        <w:tab/>
      </w:r>
      <w:r>
        <w:rPr>
          <w:rStyle w:val="Strong"/>
        </w:rPr>
        <w:t/>
        <w:t/>
        <w:t>False</w:t>
        <w:t/>
        <w:t/>
      </w:r>
    </w:p>
    <w:p>
      <w:pPr>
        <w:pStyle w:val="Heading3"/>
        <w:numPr>
          <w:numId w:val="1"/>
        </w:numPr>
      </w:pPr>
      <w:r>
        <w:t xml:space="preserve">Less than</w:t>
        <w:tab/>
        <w:t xml:space="preserve">{​​​​{calc ds.a &lt; ds.b}}:</w:t>
        <w:tab/>
      </w:r>
      <w:r>
        <w:rPr>
          <w:rStyle w:val="Strong"/>
        </w:rPr>
        <w:t/>
        <w:t/>
        <w:t>True</w:t>
        <w:t/>
        <w:t/>
      </w:r>
    </w:p>
    <w:p>
      <w:pPr>
        <w:pStyle w:val="Heading3"/>
        <w:numPr>
          <w:numId w:val="1"/>
        </w:numPr>
      </w:pPr>
      <w:r>
        <w:t xml:space="preserve">Less or equal</w:t>
        <w:tab/>
        <w:t xml:space="preserve">{​​​​{calc ds.a &lt;= ds.b}}:</w:t>
        <w:tab/>
      </w:r>
      <w:r>
        <w:rPr>
          <w:rStyle w:val="Strong"/>
        </w:rPr>
        <w:t/>
        <w:t/>
        <w:t>True</w:t>
        <w:t/>
        <w:t/>
      </w:r>
    </w:p>
    <w:p>
      <w:pPr>
        <w:pStyle w:val="Heading3"/>
        <w:numPr>
          <w:numId w:val="1"/>
        </w:numPr>
      </w:pPr>
      <w:r>
        <w:t xml:space="preserve">Logical And</w:t>
        <w:tab/>
        <w:t xml:space="preserve">{​​​​{calc ds.a And ds.b}}:</w:t>
        <w:tab/>
      </w:r>
      <w:r>
        <w:rPr>
          <w:rStyle w:val="Strong"/>
        </w:rPr>
        <w:t/>
        <w:t/>
        <w:t>True</w:t>
        <w:t/>
        <w:t/>
      </w:r>
    </w:p>
    <w:p>
      <w:pPr>
        <w:pStyle w:val="Heading3"/>
        <w:numPr>
          <w:numId w:val="1"/>
        </w:numPr>
      </w:pPr>
      <w:r>
        <w:t xml:space="preserve">Logical Or</w:t>
        <w:tab/>
        <w:t xml:space="preserve">{​​​​{calc ds.a Or ds.b}}:</w:t>
        <w:tab/>
      </w:r>
      <w:r>
        <w:rPr>
          <w:rStyle w:val="Strong"/>
        </w:rPr>
        <w:t/>
        <w:t/>
        <w:t>True</w:t>
        <w:t/>
        <w:t/>
      </w:r>
    </w:p>
    <w:p>
      <w:pPr>
        <w:pStyle w:val="Heading3"/>
        <w:numPr>
          <w:numId w:val="1"/>
        </w:numPr>
      </w:pPr>
      <w:r>
        <w:t xml:space="preserve">Logical Not</w:t>
        <w:tab/>
        <w:t xml:space="preserve">{​​​​{calc Not ds.a}}:</w:t>
        <w:tab/>
      </w:r>
      <w:r>
        <w:rPr>
          <w:rStyle w:val="Strong"/>
        </w:rPr>
        <w:t/>
        <w:t>False</w:t>
        <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multiLevelType w:val="hybridMultilevel"/>
    <w:name w:val="bulletListTemplate"/>
    <w:lvl w:ilvl="0" w:tplc="04090001">
      <w:start w:val="1"/>
      <w:numFmt w:val="bullet"/>
      <w:lvlText w:val=""/>
      <w:lvlJc w:val="left"/>
      <w:pPr>
        <w:ind w:left="720" w:hanging="360" w:firstLineChars="0"/>
      </w:pPr>
      <w:rPr>
        <w:rFonts w:hint="default" w:ascii="Symbol" w:hAnsi="Symbol"/>
      </w:rPr>
    </w:lvl>
    <w:lvl w:ilvl="1" w:tplc="04090003">
      <w:start w:val="1"/>
      <w:numFmt w:val="bullet"/>
      <w:lvlText w:val="o"/>
      <w:lvlJc w:val="left"/>
      <w:pPr>
        <w:ind w:left="1080" w:hanging="360" w:firstLineChars="0"/>
      </w:pPr>
      <w:rPr>
        <w:rFonts w:hint="default" w:ascii="Courier New" w:hAnsi="Courier New" w:cs="Courier New"/>
      </w:rPr>
    </w:lvl>
    <w:lvl w:ilvl="2" w:tplc="04090005">
      <w:start w:val="1"/>
      <w:numFmt w:val="bullet"/>
      <w:lvlText w:val=""/>
      <w:lvlJc w:val="left"/>
      <w:pPr>
        <w:ind w:left="1440" w:hanging="360" w:firstLineChars="0"/>
      </w:pPr>
      <w:rPr>
        <w:rFonts w:hint="default" w:ascii="Wingdings" w:hAnsi="Wingdings"/>
      </w:rPr>
    </w:lvl>
    <w:lvl w:ilvl="3" w:tplc="04090001">
      <w:start w:val="1"/>
      <w:numFmt w:val="bullet"/>
      <w:lvlText w:val=""/>
      <w:lvlJc w:val="left"/>
      <w:pPr>
        <w:ind w:left="1800" w:hanging="360" w:firstLineChars="0"/>
      </w:pPr>
      <w:rPr>
        <w:rFonts w:hint="default" w:ascii="Symbol" w:hAnsi="Symbol"/>
      </w:rPr>
    </w:lvl>
    <w:lvl w:ilvl="4" w:tplc="04090003">
      <w:start w:val="1"/>
      <w:numFmt w:val="bullet"/>
      <w:lvlText w:val="o"/>
      <w:lvlJc w:val="left"/>
      <w:pPr>
        <w:ind w:left="2160" w:hanging="360" w:firstLineChars="0"/>
      </w:pPr>
      <w:rPr>
        <w:rFonts w:hint="default" w:ascii="Courier New" w:hAnsi="Courier New" w:cs="Courier New"/>
      </w:rPr>
    </w:lvl>
    <w:lvl w:ilvl="5" w:tplc="04090005">
      <w:start w:val="1"/>
      <w:numFmt w:val="bullet"/>
      <w:lvlText w:val=""/>
      <w:lvlJc w:val="left"/>
      <w:pPr>
        <w:ind w:left="2520" w:hanging="360" w:firstLineChars="0"/>
      </w:pPr>
      <w:rPr>
        <w:rFonts w:hint="default" w:ascii="Wingdings" w:hAnsi="Wingdings"/>
      </w:rPr>
    </w:lvl>
    <w:lvl w:ilvl="6" w:tplc="04090001">
      <w:start w:val="1"/>
      <w:numFmt w:val="bullet"/>
      <w:lvlText w:val=""/>
      <w:lvlJc w:val="left"/>
      <w:pPr>
        <w:ind w:left="2880" w:hanging="360" w:firstLineChars="0"/>
      </w:pPr>
      <w:rPr>
        <w:rFonts w:hint="default" w:ascii="Symbol" w:hAnsi="Symbol"/>
      </w:rPr>
    </w:lvl>
    <w:lvl w:ilvl="7" w:tplc="04090003">
      <w:start w:val="1"/>
      <w:numFmt w:val="bullet"/>
      <w:lvlText w:val="o"/>
      <w:lvlJc w:val="left"/>
      <w:pPr>
        <w:ind w:left="3240" w:hanging="360" w:firstLineChars="0"/>
      </w:pPr>
      <w:rPr>
        <w:rFonts w:hint="default" w:ascii="Courier New" w:hAnsi="Courier New" w:cs="Courier New"/>
      </w:rPr>
    </w:lvl>
    <w:lvl w:ilvl="8" w:tplc="04090005">
      <w:start w:val="1"/>
      <w:numFmt w:val="bullet"/>
      <w:lvlText w:val=""/>
      <w:lvlJc w:val="left"/>
      <w:pPr>
        <w:ind w:left="3600" w:hanging="36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unhideWhenUsed/>
    <w:qFormat/>
    <w:pPr>
      <w:keepNext/>
      <w:keepLines/>
      <w:numPr>
        <w:ilvl w:val="2"/>
        <w:numId w:val="0"/>
      </w:numPr>
      <w:tabs>
        <w:tab w:val="left" w:pos="2600"/>
        <w:tab w:val="left" w:pos="5200"/>
      </w:tab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true">
    <w:name w:val="Default Paragraph Font"/>
    <w:uiPriority w:val="1"/>
    <w:unhideWhenUsed/>
  </w:style>
  <w:style w:type="character" w:styleId="Strong">
    <w:name w:val="Strong"/>
    <w:basedOn w:val="DefaultParagraphFont"/>
    <w:uiPriority w:val="22"/>
    <w:qFormat/>
    <w:rPr>
      <w:b/>
      <w:bCs/>
    </w:r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fb95cc94811546fc" /><Relationship Type="http://schemas.openxmlformats.org/officeDocument/2006/relationships/theme" Target="/word/theme/theme1.xml" Id="R564e203e52aa46de" /><Relationship Type="http://schemas.openxmlformats.org/officeDocument/2006/relationships/styles" Target="/word/styles.xml" Id="Recdc895ae8d04ad4" /><Relationship Type="http://schemas.openxmlformats.org/officeDocument/2006/relationships/numbering" Target="/word/numbering.xml" Id="Rbb45c075d58a477b" /><Relationship Type="http://schemas.openxmlformats.org/officeDocument/2006/relationships/fontTable" Target="/word/fontTable.xml" Id="Rcbf5ba663325458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