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7571951981089983192"/>
      <w:r>
        <w:t xml:space="preserve"> </w:t>
      </w:r>
      <w:r>
        <w:t>(123)098-7654</w:t>
      </w:r>
      <w:proofErr w:type="spellStart"/>
      <w:proofErr w:type="spellEnd"/>
      <w:bookmarkEnd w:id="7571951981089983192"/>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14236433854301192192"/>
    </w:p>
    <w:p>
      <w:pPr>
        <w:ind w:left="720"/>
      </w:pPr>
      <w:r>
        <w:rPr>
          <w:sz w:val="21"/>
        </w:rPr>
        <w:t>123 Main St.</w:t>
      </w:r>
      <w:bookmarkEnd w:id="14236433854301192192"/>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d258015854ee4a7c">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40e37888d0154718">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d258015854ee4a7c" /><Relationship Type="http://schemas.openxmlformats.org/officeDocument/2006/relationships/hyperlink" Target="http://www.leg.state.fl.us/statutes/index.cfm?App_mode=Display_Statute&amp;Search_String=&amp;URL=0000-0099/0083/Sections/0083.50.html" TargetMode="External" Id="R40e37888d0154718"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