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19 Dec 2025 19:00:11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